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Override PartName="/word/endnotes.xml" ContentType="application/vnd.openxmlformats-officedocument.wordprocessingml.endnot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D52858" w:rsidRPr="00ED12A7" w:rsidRDefault="00D52858" w:rsidP="00ED12A7">
      <w:pPr>
        <w:spacing w:after="0"/>
        <w:jc w:val="center"/>
        <w:rPr>
          <w:rFonts w:ascii="Estrangelo Edessa" w:hAnsi="Estrangelo Edessa" w:cs="Estrangelo Edessa"/>
          <w:b/>
          <w:sz w:val="48"/>
        </w:rPr>
      </w:pPr>
      <w:r w:rsidRPr="00ED12A7">
        <w:rPr>
          <w:rFonts w:ascii="Estrangelo Edessa" w:hAnsi="Estrangelo Edessa" w:cs="Estrangelo Edessa"/>
          <w:b/>
          <w:sz w:val="48"/>
        </w:rPr>
        <w:t xml:space="preserve">Pellegrinaggio in </w:t>
      </w:r>
    </w:p>
    <w:p w:rsidR="00D52858" w:rsidRPr="00ED12A7" w:rsidRDefault="00D52858" w:rsidP="00ED12A7">
      <w:pPr>
        <w:spacing w:after="0"/>
        <w:jc w:val="center"/>
        <w:rPr>
          <w:rFonts w:ascii="AR BERKLEY" w:hAnsi="AR BERKLEY" w:cs="Estrangelo Edessa"/>
          <w:sz w:val="96"/>
        </w:rPr>
      </w:pPr>
      <w:r w:rsidRPr="00ED12A7">
        <w:rPr>
          <w:rFonts w:ascii="AR BERKLEY" w:hAnsi="AR BERKLEY" w:cs="Estrangelo Edessa"/>
          <w:sz w:val="96"/>
        </w:rPr>
        <w:t>Terra Santa</w:t>
      </w:r>
    </w:p>
    <w:p w:rsidR="00D52858" w:rsidRPr="00ED12A7" w:rsidRDefault="00D52858" w:rsidP="00ED12A7">
      <w:pPr>
        <w:spacing w:after="0"/>
        <w:jc w:val="center"/>
        <w:rPr>
          <w:rFonts w:ascii="Estrangelo Edessa" w:hAnsi="Estrangelo Edessa" w:cs="Estrangelo Edessa"/>
          <w:b/>
          <w:color w:val="AA0042"/>
          <w:sz w:val="52"/>
        </w:rPr>
      </w:pPr>
      <w:r w:rsidRPr="00ED12A7">
        <w:rPr>
          <w:rFonts w:ascii="Estrangelo Edessa" w:hAnsi="Estrangelo Edessa" w:cs="Estrangelo Edessa"/>
          <w:b/>
          <w:color w:val="AA0042"/>
          <w:sz w:val="52"/>
        </w:rPr>
        <w:t>P</w:t>
      </w:r>
      <w:r>
        <w:rPr>
          <w:rFonts w:ascii="Estrangelo Edessa" w:hAnsi="Estrangelo Edessa" w:cs="Estrangelo Edessa"/>
          <w:b/>
          <w:color w:val="AA0042"/>
          <w:sz w:val="52"/>
        </w:rPr>
        <w:t xml:space="preserve">resiede: Padre Vittorino Grossi </w:t>
      </w:r>
      <w:r w:rsidRPr="00963BA2">
        <w:rPr>
          <w:rFonts w:ascii="Estrangelo Edessa" w:hAnsi="Estrangelo Edessa" w:cs="Estrangelo Edessa"/>
          <w:b/>
          <w:color w:val="AA0042"/>
          <w:sz w:val="28"/>
        </w:rPr>
        <w:t>O.S.A</w:t>
      </w:r>
    </w:p>
    <w:p w:rsidR="00D52858" w:rsidRPr="00ED12A7" w:rsidRDefault="00D52858" w:rsidP="00ED12A7">
      <w:pPr>
        <w:spacing w:after="0"/>
        <w:jc w:val="center"/>
        <w:rPr>
          <w:rFonts w:ascii="Estrangelo Edessa" w:hAnsi="Estrangelo Edessa" w:cs="Estrangelo Edessa"/>
          <w:b/>
          <w:color w:val="AA0042"/>
          <w:sz w:val="48"/>
        </w:rPr>
      </w:pPr>
      <w:r w:rsidRPr="00ED12A7">
        <w:rPr>
          <w:rFonts w:ascii="Estrangelo Edessa" w:hAnsi="Estrangelo Edessa" w:cs="Estrangelo Edessa"/>
          <w:b/>
          <w:color w:val="AA0042"/>
          <w:sz w:val="48"/>
        </w:rPr>
        <w:t xml:space="preserve">Partenza: </w:t>
      </w:r>
      <w:r>
        <w:rPr>
          <w:rFonts w:ascii="Estrangelo Edessa" w:hAnsi="Estrangelo Edessa" w:cs="Estrangelo Edessa"/>
          <w:b/>
          <w:color w:val="AA0042"/>
          <w:sz w:val="48"/>
        </w:rPr>
        <w:t>10 Settembre</w:t>
      </w:r>
      <w:r w:rsidRPr="00ED12A7">
        <w:rPr>
          <w:rFonts w:ascii="Estrangelo Edessa" w:hAnsi="Estrangelo Edessa" w:cs="Estrangelo Edessa"/>
          <w:b/>
          <w:color w:val="AA0042"/>
          <w:sz w:val="48"/>
        </w:rPr>
        <w:t xml:space="preserve"> 2012</w:t>
      </w:r>
    </w:p>
    <w:p w:rsidR="00D52858" w:rsidRPr="00ED12A7" w:rsidRDefault="00D52858" w:rsidP="00ED12A7">
      <w:pPr>
        <w:spacing w:after="0"/>
        <w:jc w:val="center"/>
        <w:rPr>
          <w:rFonts w:ascii="Estrangelo Edessa" w:hAnsi="Estrangelo Edessa" w:cs="Estrangelo Edessa"/>
          <w:b/>
          <w:color w:val="AA0042"/>
          <w:sz w:val="36"/>
        </w:rPr>
      </w:pPr>
      <w:r w:rsidRPr="00ED12A7">
        <w:rPr>
          <w:rFonts w:ascii="Estrangelo Edessa" w:hAnsi="Estrangelo Edessa" w:cs="Estrangelo Edessa"/>
          <w:b/>
          <w:color w:val="AA0042"/>
          <w:sz w:val="36"/>
        </w:rPr>
        <w:t>8 giorni / 7 notti</w:t>
      </w:r>
    </w:p>
    <w:p w:rsidR="00D52858" w:rsidRPr="00ED12A7" w:rsidRDefault="00D52858" w:rsidP="00ED12A7">
      <w:pPr>
        <w:spacing w:after="0"/>
        <w:jc w:val="both"/>
        <w:rPr>
          <w:b/>
          <w:sz w:val="24"/>
        </w:rPr>
      </w:pPr>
    </w:p>
    <w:p w:rsidR="00D52858" w:rsidRPr="00ED12A7" w:rsidRDefault="00D52858" w:rsidP="00ED12A7">
      <w:pPr>
        <w:spacing w:after="0"/>
        <w:jc w:val="both"/>
        <w:rPr>
          <w:b/>
          <w:sz w:val="24"/>
        </w:rPr>
      </w:pPr>
      <w:r w:rsidRPr="00ED12A7">
        <w:rPr>
          <w:b/>
          <w:sz w:val="24"/>
        </w:rPr>
        <w:t>Gior</w:t>
      </w:r>
      <w:r>
        <w:rPr>
          <w:b/>
          <w:sz w:val="24"/>
        </w:rPr>
        <w:t>no 1: ROMA – TEL AVIV – HAIFA</w:t>
      </w:r>
      <w:bookmarkStart w:id="0" w:name="_GoBack"/>
      <w:bookmarkEnd w:id="0"/>
    </w:p>
    <w:p w:rsidR="00D52858" w:rsidRPr="00ED12A7" w:rsidRDefault="00D52858" w:rsidP="00ED12A7">
      <w:pPr>
        <w:spacing w:after="0"/>
        <w:jc w:val="both"/>
        <w:rPr>
          <w:sz w:val="24"/>
        </w:rPr>
      </w:pPr>
      <w:r w:rsidRPr="00ED12A7">
        <w:rPr>
          <w:sz w:val="24"/>
        </w:rPr>
        <w:t>Ritrovo in aeroporto per svolgere le operazioni di imbarco e partenze per Tel</w:t>
      </w:r>
      <w:r>
        <w:rPr>
          <w:sz w:val="24"/>
        </w:rPr>
        <w:t xml:space="preserve"> Aviv con volo di linea. Arrivo al aeroporto Ben Gurion. Partenza per </w:t>
      </w:r>
      <w:r w:rsidRPr="00ED12A7">
        <w:rPr>
          <w:rFonts w:cs="Calibri"/>
          <w:sz w:val="24"/>
        </w:rPr>
        <w:t xml:space="preserve"> </w:t>
      </w:r>
      <w:r w:rsidRPr="00ED12A7">
        <w:rPr>
          <w:rFonts w:ascii="Tahoma" w:hAnsi="Tahoma" w:cs="Calibri"/>
          <w:sz w:val="24"/>
        </w:rPr>
        <w:t xml:space="preserve">Haifa, </w:t>
      </w:r>
      <w:r w:rsidRPr="00ED12A7">
        <w:rPr>
          <w:rFonts w:cs="Calibri"/>
          <w:sz w:val="24"/>
        </w:rPr>
        <w:t xml:space="preserve"> Monte Carmelo e visita del</w:t>
      </w:r>
      <w:r w:rsidRPr="00ED12A7">
        <w:rPr>
          <w:sz w:val="24"/>
        </w:rPr>
        <w:t xml:space="preserve"> Santuario della Stella Maris dove visse il pr</w:t>
      </w:r>
      <w:r>
        <w:rPr>
          <w:sz w:val="24"/>
        </w:rPr>
        <w:t xml:space="preserve">ofeta Elia.  </w:t>
      </w:r>
      <w:r w:rsidRPr="00ED12A7">
        <w:rPr>
          <w:sz w:val="24"/>
        </w:rPr>
        <w:t>Sistemazione in hotel. Cena e pernottamento.</w:t>
      </w:r>
    </w:p>
    <w:p w:rsidR="00D52858" w:rsidRPr="00ED12A7" w:rsidRDefault="00D52858" w:rsidP="00ED12A7">
      <w:pPr>
        <w:spacing w:after="0"/>
        <w:jc w:val="both"/>
        <w:rPr>
          <w:b/>
          <w:sz w:val="24"/>
        </w:rPr>
      </w:pPr>
    </w:p>
    <w:p w:rsidR="00D52858" w:rsidRPr="00ED12A7" w:rsidRDefault="00D52858" w:rsidP="00ED12A7">
      <w:pPr>
        <w:spacing w:after="0"/>
        <w:jc w:val="both"/>
        <w:rPr>
          <w:b/>
          <w:sz w:val="24"/>
        </w:rPr>
      </w:pPr>
      <w:r w:rsidRPr="00ED12A7">
        <w:rPr>
          <w:b/>
          <w:sz w:val="24"/>
        </w:rPr>
        <w:t xml:space="preserve">Giorno 2: NAZARETH  </w:t>
      </w:r>
      <w:r w:rsidRPr="00ED12A7">
        <w:rPr>
          <w:b/>
          <w:i/>
          <w:sz w:val="24"/>
        </w:rPr>
        <w:t>“Il Verbo si è fatto Carne e abita in mezzo a noi”</w:t>
      </w:r>
    </w:p>
    <w:p w:rsidR="00D52858" w:rsidRPr="00ED12A7" w:rsidRDefault="00D52858" w:rsidP="00ED12A7">
      <w:pPr>
        <w:spacing w:after="0"/>
        <w:jc w:val="both"/>
        <w:rPr>
          <w:sz w:val="24"/>
        </w:rPr>
      </w:pPr>
      <w:r w:rsidRPr="00ED12A7">
        <w:rPr>
          <w:sz w:val="24"/>
        </w:rPr>
        <w:t xml:space="preserve">Colazione. Visita di Nazareth: Basilica dell’Annunciazione, la Chiesa di San Giuseppe, la Sinagoga e la Fontana della Vergine. Pranzo. Cana di Galilea e Monte Tabor. </w:t>
      </w:r>
      <w:r>
        <w:rPr>
          <w:sz w:val="24"/>
        </w:rPr>
        <w:t xml:space="preserve"> </w:t>
      </w:r>
      <w:r w:rsidRPr="00ED12A7">
        <w:rPr>
          <w:sz w:val="24"/>
        </w:rPr>
        <w:t>Cena e pernottamento</w:t>
      </w:r>
      <w:r>
        <w:rPr>
          <w:sz w:val="24"/>
        </w:rPr>
        <w:t>.</w:t>
      </w:r>
    </w:p>
    <w:p w:rsidR="00D52858" w:rsidRPr="00ED12A7" w:rsidRDefault="00D52858" w:rsidP="00ED12A7">
      <w:pPr>
        <w:spacing w:after="0"/>
        <w:jc w:val="both"/>
        <w:rPr>
          <w:b/>
          <w:sz w:val="24"/>
        </w:rPr>
      </w:pPr>
    </w:p>
    <w:p w:rsidR="00D52858" w:rsidRPr="00ED12A7" w:rsidRDefault="00D52858" w:rsidP="00ED12A7">
      <w:pPr>
        <w:spacing w:after="0"/>
        <w:jc w:val="both"/>
        <w:rPr>
          <w:b/>
          <w:sz w:val="24"/>
        </w:rPr>
      </w:pPr>
      <w:r w:rsidRPr="00ED12A7">
        <w:rPr>
          <w:b/>
          <w:sz w:val="24"/>
        </w:rPr>
        <w:t xml:space="preserve">Giorno 3: LAGO DI TIBERIADE </w:t>
      </w:r>
      <w:r w:rsidRPr="00ED12A7">
        <w:rPr>
          <w:b/>
          <w:i/>
          <w:sz w:val="24"/>
        </w:rPr>
        <w:t>“La vita pubblica di Gesù”</w:t>
      </w:r>
    </w:p>
    <w:p w:rsidR="00D52858" w:rsidRPr="00ED12A7" w:rsidRDefault="00D52858" w:rsidP="00ED12A7">
      <w:pPr>
        <w:spacing w:after="0"/>
        <w:jc w:val="both"/>
        <w:rPr>
          <w:sz w:val="24"/>
        </w:rPr>
      </w:pPr>
      <w:r w:rsidRPr="00ED12A7">
        <w:rPr>
          <w:sz w:val="24"/>
        </w:rPr>
        <w:t>Colazione. Visita dei luoghi della predicazione di Gesù: Il Monte delle Beatitudini;  Tabgha, chiesa del Primato e della Moltiplicazione dei pani e dei pesci; Cafarnao; con il memoriale di San Pietro, la Sinagoga e gli Scavi archeologici. Pranzo. Traversata del Lago in battello. Rinnovo delle promesse battesimali presso il fiume Giordano. Cena e pernottamento.</w:t>
      </w:r>
    </w:p>
    <w:p w:rsidR="00D52858" w:rsidRPr="00ED12A7" w:rsidRDefault="00D52858" w:rsidP="00ED12A7">
      <w:pPr>
        <w:spacing w:after="0"/>
        <w:jc w:val="both"/>
        <w:rPr>
          <w:b/>
          <w:sz w:val="24"/>
        </w:rPr>
      </w:pPr>
    </w:p>
    <w:p w:rsidR="00D52858" w:rsidRPr="00ED12A7" w:rsidRDefault="00D52858" w:rsidP="00ED12A7">
      <w:pPr>
        <w:spacing w:after="0"/>
        <w:jc w:val="both"/>
        <w:rPr>
          <w:b/>
          <w:sz w:val="24"/>
        </w:rPr>
      </w:pPr>
      <w:r w:rsidRPr="00ED12A7">
        <w:rPr>
          <w:b/>
          <w:sz w:val="24"/>
        </w:rPr>
        <w:t xml:space="preserve">Giorno 4: NAZARETH – GERUSALEMME  </w:t>
      </w:r>
      <w:r w:rsidRPr="00ED12A7">
        <w:rPr>
          <w:b/>
          <w:i/>
          <w:sz w:val="24"/>
        </w:rPr>
        <w:t>“Il deserto”</w:t>
      </w:r>
    </w:p>
    <w:p w:rsidR="00D52858" w:rsidRPr="00ED12A7" w:rsidRDefault="00D52858" w:rsidP="00ED12A7">
      <w:pPr>
        <w:spacing w:after="0"/>
        <w:jc w:val="both"/>
        <w:rPr>
          <w:sz w:val="24"/>
        </w:rPr>
      </w:pPr>
      <w:r w:rsidRPr="00ED12A7">
        <w:rPr>
          <w:sz w:val="24"/>
        </w:rPr>
        <w:t>Colazione. Partenza per la Giudea. La Valle del Giordano. L’esperienza del deserto. Breve sosta a Gerico. Betania. Chiesa dell’amicizia, luogo della Risurrezione di Lazzaro. Pranzo. Proseguimento per Qumrán, visita degli scavi e sosta lungo le rive del Mar Morto. Cena e pernottamento.</w:t>
      </w:r>
    </w:p>
    <w:p w:rsidR="00D52858" w:rsidRPr="00ED12A7" w:rsidRDefault="00D52858" w:rsidP="00ED12A7">
      <w:pPr>
        <w:spacing w:after="0"/>
        <w:jc w:val="both"/>
        <w:rPr>
          <w:b/>
          <w:sz w:val="24"/>
        </w:rPr>
      </w:pPr>
    </w:p>
    <w:p w:rsidR="00D52858" w:rsidRPr="00ED12A7" w:rsidRDefault="00D52858" w:rsidP="00ED12A7">
      <w:pPr>
        <w:spacing w:after="0"/>
        <w:jc w:val="both"/>
        <w:rPr>
          <w:b/>
          <w:sz w:val="24"/>
        </w:rPr>
      </w:pPr>
      <w:r w:rsidRPr="00ED12A7">
        <w:rPr>
          <w:b/>
          <w:sz w:val="24"/>
        </w:rPr>
        <w:t xml:space="preserve">Giorno 5: GERUSALEMME </w:t>
      </w:r>
      <w:r w:rsidRPr="00ED12A7">
        <w:rPr>
          <w:b/>
          <w:i/>
          <w:sz w:val="24"/>
        </w:rPr>
        <w:t>“La Natività”</w:t>
      </w:r>
    </w:p>
    <w:p w:rsidR="00D52858" w:rsidRPr="00ED12A7" w:rsidRDefault="00D52858" w:rsidP="00ED12A7">
      <w:pPr>
        <w:spacing w:after="0"/>
        <w:jc w:val="both"/>
        <w:rPr>
          <w:sz w:val="24"/>
        </w:rPr>
      </w:pPr>
      <w:r w:rsidRPr="00ED12A7">
        <w:rPr>
          <w:sz w:val="24"/>
        </w:rPr>
        <w:t>Colazione. Partenza per Betlemme, campo dei pastori. Pranzo. Visita alla Basilica della Natività. Visita ad Ein Karem: Chiesa di San Giovanni Battista e della Visitazione di Maria a Santa Elisabetta. Cena pernottamento.</w:t>
      </w:r>
    </w:p>
    <w:p w:rsidR="00D52858" w:rsidRPr="00ED12A7" w:rsidRDefault="00D52858" w:rsidP="00ED12A7">
      <w:pPr>
        <w:spacing w:after="0"/>
        <w:jc w:val="both"/>
        <w:rPr>
          <w:b/>
          <w:sz w:val="24"/>
        </w:rPr>
      </w:pPr>
    </w:p>
    <w:p w:rsidR="00D52858" w:rsidRPr="00ED12A7" w:rsidRDefault="00D52858" w:rsidP="00ED12A7">
      <w:pPr>
        <w:spacing w:after="0"/>
        <w:jc w:val="both"/>
        <w:rPr>
          <w:b/>
          <w:sz w:val="24"/>
        </w:rPr>
      </w:pPr>
      <w:r w:rsidRPr="00ED12A7">
        <w:rPr>
          <w:b/>
          <w:sz w:val="24"/>
        </w:rPr>
        <w:t xml:space="preserve">Giorno 6: GERUSALEMME </w:t>
      </w:r>
      <w:r w:rsidRPr="00ED12A7">
        <w:rPr>
          <w:b/>
          <w:i/>
          <w:sz w:val="24"/>
        </w:rPr>
        <w:t>“I due Monti”</w:t>
      </w:r>
    </w:p>
    <w:p w:rsidR="00D52858" w:rsidRPr="00ED12A7" w:rsidRDefault="00D52858" w:rsidP="00ED12A7">
      <w:pPr>
        <w:spacing w:after="0"/>
        <w:jc w:val="both"/>
        <w:rPr>
          <w:sz w:val="24"/>
        </w:rPr>
      </w:pPr>
      <w:r w:rsidRPr="00ED12A7">
        <w:rPr>
          <w:sz w:val="24"/>
        </w:rPr>
        <w:t>Colazione. Visita del Monte degli Ulivi; edicola dell’ Ascensione, Chiesa del Pater Noster;  Dominus Flevit, Tomba di Maria,  Orto degli Ulivi e Basilica dell’Agonia. Pranzo. Il Monte Sion con il Cenacolo, la Basilica della Dormizione di Maria  e San Pietro in Gallicantu. Cena pernottamento.</w:t>
      </w:r>
    </w:p>
    <w:p w:rsidR="00D52858" w:rsidRPr="00ED12A7" w:rsidRDefault="00D52858" w:rsidP="00ED12A7">
      <w:pPr>
        <w:spacing w:after="0"/>
        <w:jc w:val="both"/>
        <w:rPr>
          <w:b/>
          <w:sz w:val="24"/>
        </w:rPr>
      </w:pPr>
    </w:p>
    <w:p w:rsidR="00D52858" w:rsidRPr="00ED12A7" w:rsidRDefault="00D52858" w:rsidP="00ED12A7">
      <w:pPr>
        <w:spacing w:after="0"/>
        <w:jc w:val="both"/>
        <w:rPr>
          <w:b/>
          <w:sz w:val="24"/>
        </w:rPr>
      </w:pPr>
      <w:r w:rsidRPr="00ED12A7">
        <w:rPr>
          <w:b/>
          <w:sz w:val="24"/>
        </w:rPr>
        <w:t xml:space="preserve">Giorno 7: GERUSALEMME </w:t>
      </w:r>
      <w:r w:rsidRPr="00ED12A7">
        <w:rPr>
          <w:b/>
          <w:i/>
          <w:sz w:val="24"/>
        </w:rPr>
        <w:t>“La città vecchia”</w:t>
      </w:r>
    </w:p>
    <w:p w:rsidR="00D52858" w:rsidRPr="00ED12A7" w:rsidRDefault="00D52858" w:rsidP="00ED12A7">
      <w:pPr>
        <w:spacing w:after="0"/>
        <w:jc w:val="both"/>
        <w:rPr>
          <w:sz w:val="24"/>
        </w:rPr>
      </w:pPr>
      <w:r w:rsidRPr="00ED12A7">
        <w:rPr>
          <w:sz w:val="24"/>
        </w:rPr>
        <w:t>Colazione. Visita della Gerusalemme antica: Chiesa di Sant’Anna, Piscina Probática, la Via Dolorosa (Flagellazione e Lithostrotos) Via crucis.  Basilica del Santo Sepolcro. Pranzo. Cena pernottamento.</w:t>
      </w:r>
    </w:p>
    <w:p w:rsidR="00D52858" w:rsidRPr="00ED12A7" w:rsidRDefault="00D52858" w:rsidP="00ED12A7">
      <w:pPr>
        <w:spacing w:after="0"/>
        <w:jc w:val="both"/>
        <w:rPr>
          <w:b/>
          <w:sz w:val="24"/>
        </w:rPr>
      </w:pPr>
    </w:p>
    <w:p w:rsidR="00D52858" w:rsidRPr="00ED12A7" w:rsidRDefault="00D52858" w:rsidP="00ED12A7">
      <w:pPr>
        <w:spacing w:after="0"/>
        <w:jc w:val="both"/>
        <w:rPr>
          <w:b/>
          <w:sz w:val="24"/>
        </w:rPr>
      </w:pPr>
      <w:r w:rsidRPr="00ED12A7">
        <w:rPr>
          <w:b/>
          <w:sz w:val="24"/>
        </w:rPr>
        <w:t>Giorno 8: GERUSALEMME – TEL AVIV – ROMA</w:t>
      </w:r>
    </w:p>
    <w:p w:rsidR="00D52858" w:rsidRPr="00ED12A7" w:rsidRDefault="00D52858" w:rsidP="00ED12A7">
      <w:pPr>
        <w:spacing w:after="0"/>
        <w:jc w:val="both"/>
        <w:rPr>
          <w:b/>
          <w:sz w:val="24"/>
        </w:rPr>
      </w:pPr>
      <w:r w:rsidRPr="00ED12A7">
        <w:rPr>
          <w:sz w:val="24"/>
        </w:rPr>
        <w:t>Prima colazione. Mattinata dedicata alla visita della Gerusalemme moderna con il Memoriale dell’Olocausto (Yad Vashem) Pranzo in ristorante. Nel pomeriggio sosta ad Emmaus. Visita al Santuario. Trasferimento all’aeroporto di Tel Aviv e partenza per il rientro a Roma.</w:t>
      </w:r>
    </w:p>
    <w:p w:rsidR="00D52858" w:rsidRDefault="00D52858" w:rsidP="00ED12A7">
      <w:pPr>
        <w:spacing w:after="0" w:line="240" w:lineRule="auto"/>
        <w:jc w:val="both"/>
        <w:textAlignment w:val="baseline"/>
        <w:rPr>
          <w:rFonts w:cs="Calibri"/>
          <w:sz w:val="24"/>
          <w:lang w:eastAsia="it-IT"/>
        </w:rPr>
      </w:pPr>
    </w:p>
    <w:p w:rsidR="00D52858" w:rsidRPr="00017F50" w:rsidRDefault="00D52858" w:rsidP="00017F50">
      <w:pPr>
        <w:spacing w:before="100" w:beforeAutospacing="1" w:after="100" w:afterAutospacing="1" w:line="240" w:lineRule="auto"/>
        <w:textAlignment w:val="center"/>
        <w:rPr>
          <w:rFonts w:cs="Calibri"/>
          <w:b/>
          <w:color w:val="0070C0"/>
          <w:sz w:val="24"/>
          <w:lang w:eastAsia="it-IT"/>
        </w:rPr>
      </w:pPr>
      <w:r w:rsidRPr="00017F50">
        <w:rPr>
          <w:rFonts w:cs="Calibri"/>
          <w:b/>
          <w:color w:val="0070C0"/>
          <w:sz w:val="24"/>
          <w:lang w:eastAsia="it-IT"/>
        </w:rPr>
        <w:t>Quota di partecipazione:</w:t>
      </w:r>
    </w:p>
    <w:p w:rsidR="00D52858" w:rsidRPr="00017F50" w:rsidRDefault="00D52858" w:rsidP="00017F50">
      <w:pPr>
        <w:spacing w:before="100" w:beforeAutospacing="1" w:after="100" w:afterAutospacing="1" w:line="240" w:lineRule="auto"/>
        <w:textAlignment w:val="center"/>
        <w:rPr>
          <w:rFonts w:cs="Calibri"/>
          <w:b/>
          <w:sz w:val="24"/>
          <w:lang w:eastAsia="it-IT"/>
        </w:rPr>
      </w:pPr>
      <w:r w:rsidRPr="00ED12A7">
        <w:rPr>
          <w:rFonts w:cs="Calibri"/>
          <w:sz w:val="24"/>
          <w:lang w:eastAsia="it-IT"/>
        </w:rPr>
        <w:t>In stanza stanza doppia a persona:   € 1.</w:t>
      </w:r>
      <w:r>
        <w:rPr>
          <w:rFonts w:cs="Calibri"/>
          <w:sz w:val="24"/>
          <w:lang w:eastAsia="it-IT"/>
        </w:rPr>
        <w:t>0</w:t>
      </w:r>
      <w:r w:rsidRPr="00ED12A7">
        <w:rPr>
          <w:rFonts w:cs="Calibri"/>
          <w:sz w:val="24"/>
          <w:lang w:eastAsia="it-IT"/>
        </w:rPr>
        <w:t>35,00</w:t>
      </w:r>
      <w:r>
        <w:rPr>
          <w:rFonts w:cs="Calibri"/>
          <w:sz w:val="24"/>
          <w:lang w:eastAsia="it-IT"/>
        </w:rPr>
        <w:t xml:space="preserve"> (+ 180,00 tasse aeroportuali + q.i. 25,00)</w:t>
      </w:r>
      <w:r w:rsidRPr="00ED12A7">
        <w:rPr>
          <w:rFonts w:cs="Calibri"/>
          <w:sz w:val="24"/>
          <w:lang w:eastAsia="it-IT"/>
        </w:rPr>
        <w:br/>
        <w:t xml:space="preserve">Supplemento per </w:t>
      </w:r>
      <w:r>
        <w:rPr>
          <w:rFonts w:cs="Calibri"/>
          <w:sz w:val="24"/>
          <w:lang w:eastAsia="it-IT"/>
        </w:rPr>
        <w:t xml:space="preserve">Camera singola:       € 240,00 </w:t>
      </w:r>
    </w:p>
    <w:p w:rsidR="00D52858" w:rsidRPr="00017F50" w:rsidRDefault="00D52858" w:rsidP="00ED12A7">
      <w:pPr>
        <w:spacing w:after="0" w:line="240" w:lineRule="auto"/>
        <w:jc w:val="both"/>
        <w:textAlignment w:val="baseline"/>
        <w:rPr>
          <w:rFonts w:cs="Calibri"/>
          <w:b/>
          <w:color w:val="0070C0"/>
          <w:sz w:val="36"/>
          <w:lang w:val="en-US" w:eastAsia="it-IT"/>
        </w:rPr>
      </w:pPr>
      <w:r w:rsidRPr="00017F50">
        <w:rPr>
          <w:rFonts w:cs="Calibri"/>
          <w:b/>
          <w:color w:val="0070C0"/>
          <w:sz w:val="36"/>
          <w:lang w:val="en-US" w:eastAsia="it-IT"/>
        </w:rPr>
        <w:t>La quota comprende</w:t>
      </w:r>
    </w:p>
    <w:p w:rsidR="00D52858" w:rsidRPr="00ED12A7" w:rsidRDefault="00D52858" w:rsidP="00ED12A7">
      <w:pPr>
        <w:numPr>
          <w:ilvl w:val="0"/>
          <w:numId w:val="1"/>
        </w:numPr>
        <w:spacing w:before="100" w:beforeAutospacing="1" w:after="100" w:afterAutospacing="1" w:line="240" w:lineRule="auto"/>
        <w:ind w:left="300"/>
        <w:jc w:val="both"/>
        <w:textAlignment w:val="center"/>
        <w:rPr>
          <w:rFonts w:cs="Calibri"/>
          <w:lang w:eastAsia="it-IT"/>
        </w:rPr>
      </w:pPr>
      <w:r w:rsidRPr="00ED12A7">
        <w:rPr>
          <w:rFonts w:cs="Calibri"/>
          <w:lang w:eastAsia="it-IT"/>
        </w:rPr>
        <w:t>Viaggio Aereo in classe turistica Roma/Tel Aviv/Roma.</w:t>
      </w:r>
    </w:p>
    <w:p w:rsidR="00D52858" w:rsidRPr="00ED12A7" w:rsidRDefault="00D52858" w:rsidP="00ED12A7">
      <w:pPr>
        <w:numPr>
          <w:ilvl w:val="0"/>
          <w:numId w:val="1"/>
        </w:numPr>
        <w:spacing w:before="100" w:beforeAutospacing="1" w:after="100" w:afterAutospacing="1" w:line="240" w:lineRule="auto"/>
        <w:ind w:left="300"/>
        <w:jc w:val="both"/>
        <w:textAlignment w:val="center"/>
        <w:rPr>
          <w:rFonts w:cs="Calibri"/>
          <w:lang w:eastAsia="it-IT"/>
        </w:rPr>
      </w:pPr>
      <w:r w:rsidRPr="00ED12A7">
        <w:rPr>
          <w:rFonts w:cs="Calibri"/>
          <w:lang w:eastAsia="it-IT"/>
        </w:rPr>
        <w:t>Tasse aeroportuali e di sicurezza.</w:t>
      </w:r>
    </w:p>
    <w:p w:rsidR="00D52858" w:rsidRPr="00ED12A7" w:rsidRDefault="00D52858" w:rsidP="00ED12A7">
      <w:pPr>
        <w:numPr>
          <w:ilvl w:val="0"/>
          <w:numId w:val="1"/>
        </w:numPr>
        <w:spacing w:before="100" w:beforeAutospacing="1" w:after="100" w:afterAutospacing="1" w:line="240" w:lineRule="auto"/>
        <w:ind w:left="300"/>
        <w:jc w:val="both"/>
        <w:textAlignment w:val="center"/>
        <w:rPr>
          <w:rFonts w:cs="Calibri"/>
          <w:lang w:eastAsia="it-IT"/>
        </w:rPr>
      </w:pPr>
      <w:r w:rsidRPr="00ED12A7">
        <w:rPr>
          <w:rFonts w:cs="Calibri"/>
          <w:lang w:eastAsia="it-IT"/>
        </w:rPr>
        <w:t>Trasferimenti, visite ed escursioni come da programma con pullman privato.</w:t>
      </w:r>
    </w:p>
    <w:p w:rsidR="00D52858" w:rsidRPr="00ED12A7" w:rsidRDefault="00D52858" w:rsidP="00ED12A7">
      <w:pPr>
        <w:numPr>
          <w:ilvl w:val="0"/>
          <w:numId w:val="1"/>
        </w:numPr>
        <w:spacing w:before="100" w:beforeAutospacing="1" w:after="100" w:afterAutospacing="1" w:line="240" w:lineRule="auto"/>
        <w:ind w:left="300"/>
        <w:jc w:val="both"/>
        <w:textAlignment w:val="center"/>
        <w:rPr>
          <w:rFonts w:cs="Calibri"/>
          <w:lang w:val="en-US" w:eastAsia="it-IT"/>
        </w:rPr>
      </w:pPr>
      <w:r w:rsidRPr="00ED12A7">
        <w:rPr>
          <w:rFonts w:cs="Calibri"/>
          <w:lang w:val="en-US" w:eastAsia="it-IT"/>
        </w:rPr>
        <w:t>Guida in lingua italiana;</w:t>
      </w:r>
    </w:p>
    <w:p w:rsidR="00D52858" w:rsidRPr="00ED12A7" w:rsidRDefault="00D52858" w:rsidP="00ED12A7">
      <w:pPr>
        <w:numPr>
          <w:ilvl w:val="0"/>
          <w:numId w:val="1"/>
        </w:numPr>
        <w:spacing w:before="100" w:beforeAutospacing="1" w:after="100" w:afterAutospacing="1" w:line="240" w:lineRule="auto"/>
        <w:ind w:left="300"/>
        <w:jc w:val="both"/>
        <w:textAlignment w:val="center"/>
        <w:rPr>
          <w:rFonts w:cs="Calibri"/>
          <w:lang w:val="en-US" w:eastAsia="it-IT"/>
        </w:rPr>
      </w:pPr>
      <w:r w:rsidRPr="00ED12A7">
        <w:rPr>
          <w:rFonts w:cs="Calibri"/>
          <w:lang w:val="en-US" w:eastAsia="it-IT"/>
        </w:rPr>
        <w:t>Ingressi  dove previsti  dall’itinerario</w:t>
      </w:r>
    </w:p>
    <w:p w:rsidR="00D52858" w:rsidRPr="00ED12A7" w:rsidRDefault="00D52858" w:rsidP="00ED12A7">
      <w:pPr>
        <w:numPr>
          <w:ilvl w:val="0"/>
          <w:numId w:val="1"/>
        </w:numPr>
        <w:spacing w:before="100" w:beforeAutospacing="1" w:after="100" w:afterAutospacing="1" w:line="240" w:lineRule="auto"/>
        <w:ind w:left="300"/>
        <w:jc w:val="both"/>
        <w:textAlignment w:val="center"/>
        <w:rPr>
          <w:rFonts w:cs="Calibri"/>
          <w:lang w:eastAsia="it-IT"/>
        </w:rPr>
      </w:pPr>
      <w:r w:rsidRPr="00ED12A7">
        <w:rPr>
          <w:rFonts w:cs="Calibri"/>
          <w:lang w:eastAsia="it-IT"/>
        </w:rPr>
        <w:t>Sistemazione in alberghi di categoria 3 e 4 stelle in camere a due letti con servizi privati;</w:t>
      </w:r>
    </w:p>
    <w:p w:rsidR="00D52858" w:rsidRPr="00ED12A7" w:rsidRDefault="00D52858" w:rsidP="00ED12A7">
      <w:pPr>
        <w:numPr>
          <w:ilvl w:val="0"/>
          <w:numId w:val="1"/>
        </w:numPr>
        <w:spacing w:before="100" w:beforeAutospacing="1" w:after="100" w:afterAutospacing="1" w:line="240" w:lineRule="auto"/>
        <w:ind w:left="300"/>
        <w:jc w:val="both"/>
        <w:textAlignment w:val="center"/>
        <w:rPr>
          <w:rFonts w:cs="Calibri"/>
          <w:lang w:eastAsia="it-IT"/>
        </w:rPr>
      </w:pPr>
      <w:r w:rsidRPr="00ED12A7">
        <w:rPr>
          <w:rFonts w:cs="Calibri"/>
          <w:lang w:eastAsia="it-IT"/>
        </w:rPr>
        <w:t>Trattamento di pensione completa (bevande escluse) dalla cena del primo giorno alla prima colazione  dell' ultimo giorno;</w:t>
      </w:r>
    </w:p>
    <w:p w:rsidR="00D52858" w:rsidRPr="00ED12A7" w:rsidRDefault="00D52858" w:rsidP="00ED12A7">
      <w:pPr>
        <w:numPr>
          <w:ilvl w:val="0"/>
          <w:numId w:val="1"/>
        </w:numPr>
        <w:spacing w:before="100" w:beforeAutospacing="1" w:after="100" w:afterAutospacing="1" w:line="240" w:lineRule="auto"/>
        <w:ind w:left="300"/>
        <w:jc w:val="both"/>
        <w:textAlignment w:val="center"/>
        <w:rPr>
          <w:rFonts w:cs="Calibri"/>
          <w:lang w:eastAsia="it-IT"/>
        </w:rPr>
      </w:pPr>
      <w:r w:rsidRPr="00ED12A7">
        <w:rPr>
          <w:rFonts w:cs="Calibri"/>
          <w:lang w:eastAsia="it-IT"/>
        </w:rPr>
        <w:t>Assistenza della nostra Agenzia locale;</w:t>
      </w:r>
    </w:p>
    <w:p w:rsidR="00D52858" w:rsidRPr="00ED12A7" w:rsidRDefault="00D52858" w:rsidP="00ED12A7">
      <w:pPr>
        <w:numPr>
          <w:ilvl w:val="0"/>
          <w:numId w:val="1"/>
        </w:numPr>
        <w:spacing w:before="100" w:beforeAutospacing="1" w:after="100" w:afterAutospacing="1" w:line="240" w:lineRule="auto"/>
        <w:ind w:left="300"/>
        <w:jc w:val="both"/>
        <w:textAlignment w:val="center"/>
        <w:rPr>
          <w:rFonts w:cs="Calibri"/>
          <w:lang w:val="en-US" w:eastAsia="it-IT"/>
        </w:rPr>
      </w:pPr>
      <w:r w:rsidRPr="00ED12A7">
        <w:rPr>
          <w:rFonts w:cs="Calibri"/>
          <w:lang w:val="en-US" w:eastAsia="it-IT"/>
        </w:rPr>
        <w:t xml:space="preserve">Borsa </w:t>
      </w:r>
    </w:p>
    <w:p w:rsidR="00D52858" w:rsidRPr="00ED12A7" w:rsidRDefault="00D52858" w:rsidP="00ED12A7">
      <w:pPr>
        <w:numPr>
          <w:ilvl w:val="0"/>
          <w:numId w:val="1"/>
        </w:numPr>
        <w:spacing w:before="100" w:beforeAutospacing="1" w:after="100" w:afterAutospacing="1" w:line="240" w:lineRule="auto"/>
        <w:ind w:left="300"/>
        <w:jc w:val="both"/>
        <w:textAlignment w:val="center"/>
        <w:rPr>
          <w:rFonts w:cs="Calibri"/>
          <w:lang w:eastAsia="it-IT"/>
        </w:rPr>
      </w:pPr>
      <w:r w:rsidRPr="00ED12A7">
        <w:rPr>
          <w:rFonts w:cs="Calibri"/>
          <w:lang w:eastAsia="it-IT"/>
        </w:rPr>
        <w:t>Assicurazione medico/bagaglio e annullamento viaggio.</w:t>
      </w:r>
    </w:p>
    <w:p w:rsidR="00D52858" w:rsidRPr="00ED12A7" w:rsidRDefault="00D52858" w:rsidP="00ED12A7">
      <w:pPr>
        <w:numPr>
          <w:ilvl w:val="0"/>
          <w:numId w:val="1"/>
        </w:numPr>
        <w:spacing w:before="100" w:beforeAutospacing="1" w:after="100" w:afterAutospacing="1" w:line="240" w:lineRule="auto"/>
        <w:ind w:left="300"/>
        <w:jc w:val="both"/>
        <w:textAlignment w:val="center"/>
        <w:rPr>
          <w:rFonts w:cs="Calibri"/>
          <w:lang w:eastAsia="it-IT"/>
        </w:rPr>
      </w:pPr>
      <w:r w:rsidRPr="00ED12A7">
        <w:rPr>
          <w:rFonts w:cs="Calibri"/>
          <w:lang w:eastAsia="it-IT"/>
        </w:rPr>
        <w:t>Mance.</w:t>
      </w:r>
      <w:r w:rsidRPr="00ED12A7">
        <w:rPr>
          <w:rFonts w:cs="Calibri"/>
          <w:lang w:eastAsia="it-IT"/>
        </w:rPr>
        <w:br/>
      </w:r>
    </w:p>
    <w:p w:rsidR="00D52858" w:rsidRPr="00017F50" w:rsidRDefault="00D52858" w:rsidP="00017F50">
      <w:pPr>
        <w:spacing w:before="100" w:beforeAutospacing="1" w:after="100" w:afterAutospacing="1" w:line="240" w:lineRule="auto"/>
        <w:ind w:left="-60"/>
        <w:jc w:val="both"/>
        <w:textAlignment w:val="center"/>
        <w:rPr>
          <w:rFonts w:cs="Calibri"/>
          <w:b/>
          <w:color w:val="0070C0"/>
          <w:sz w:val="36"/>
          <w:lang w:eastAsia="it-IT"/>
        </w:rPr>
      </w:pPr>
      <w:r w:rsidRPr="00017F50">
        <w:rPr>
          <w:rFonts w:cs="Calibri"/>
          <w:b/>
          <w:color w:val="0070C0"/>
          <w:sz w:val="36"/>
          <w:lang w:eastAsia="it-IT"/>
        </w:rPr>
        <w:t>La quota non comprende</w:t>
      </w:r>
    </w:p>
    <w:p w:rsidR="00D52858" w:rsidRPr="00ED12A7" w:rsidRDefault="00D52858" w:rsidP="00ED12A7">
      <w:pPr>
        <w:numPr>
          <w:ilvl w:val="0"/>
          <w:numId w:val="2"/>
        </w:numPr>
        <w:spacing w:before="100" w:beforeAutospacing="1" w:after="100" w:afterAutospacing="1" w:line="240" w:lineRule="auto"/>
        <w:ind w:left="300"/>
        <w:jc w:val="both"/>
        <w:textAlignment w:val="center"/>
        <w:rPr>
          <w:rFonts w:cs="Calibri"/>
          <w:lang w:val="en-US" w:eastAsia="it-IT"/>
        </w:rPr>
      </w:pPr>
      <w:r w:rsidRPr="00ED12A7">
        <w:rPr>
          <w:rFonts w:cs="Calibri"/>
          <w:lang w:val="en-US" w:eastAsia="it-IT"/>
        </w:rPr>
        <w:t>Bevande.</w:t>
      </w:r>
    </w:p>
    <w:p w:rsidR="00D52858" w:rsidRPr="00ED12A7" w:rsidRDefault="00D52858" w:rsidP="00ED12A7">
      <w:pPr>
        <w:numPr>
          <w:ilvl w:val="0"/>
          <w:numId w:val="2"/>
        </w:numPr>
        <w:spacing w:before="100" w:beforeAutospacing="1" w:after="100" w:afterAutospacing="1" w:line="240" w:lineRule="auto"/>
        <w:ind w:left="300"/>
        <w:jc w:val="both"/>
        <w:textAlignment w:val="center"/>
        <w:rPr>
          <w:rFonts w:cs="Calibri"/>
          <w:lang w:val="en-US" w:eastAsia="it-IT"/>
        </w:rPr>
      </w:pPr>
      <w:r w:rsidRPr="00ED12A7">
        <w:rPr>
          <w:rFonts w:cs="Calibri"/>
          <w:lang w:val="en-US" w:eastAsia="it-IT"/>
        </w:rPr>
        <w:t xml:space="preserve">Spese di carattere personale. </w:t>
      </w:r>
    </w:p>
    <w:p w:rsidR="00D52858" w:rsidRPr="00ED12A7" w:rsidRDefault="00D52858" w:rsidP="00ED12A7">
      <w:pPr>
        <w:numPr>
          <w:ilvl w:val="0"/>
          <w:numId w:val="2"/>
        </w:numPr>
        <w:spacing w:before="100" w:beforeAutospacing="1" w:after="100" w:afterAutospacing="1" w:line="240" w:lineRule="auto"/>
        <w:ind w:left="300"/>
        <w:jc w:val="both"/>
        <w:textAlignment w:val="center"/>
        <w:rPr>
          <w:rFonts w:cs="Calibri"/>
          <w:lang w:eastAsia="it-IT"/>
        </w:rPr>
      </w:pPr>
      <w:r w:rsidRPr="00ED12A7">
        <w:rPr>
          <w:rFonts w:cs="Calibri"/>
          <w:lang w:eastAsia="it-IT"/>
        </w:rPr>
        <w:t>Extra in genere e quanto non espressamente indicato sotto la voce “La quota comprende”</w:t>
      </w:r>
    </w:p>
    <w:sectPr w:rsidR="00D52858" w:rsidRPr="00ED12A7" w:rsidSect="00415C1A">
      <w:footerReference w:type="default" r:id="rId7"/>
      <w:pgSz w:w="11906" w:h="16838"/>
      <w:pgMar w:top="1417" w:right="1134" w:bottom="1134" w:left="1134"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D52858" w:rsidRDefault="00D52858">
      <w:pPr>
        <w:spacing w:after="0" w:line="240" w:lineRule="auto"/>
      </w:pPr>
      <w:r>
        <w:separator/>
      </w:r>
    </w:p>
  </w:endnote>
  <w:endnote w:type="continuationSeparator" w:id="1">
    <w:p w:rsidR="00D52858" w:rsidRDefault="00D528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00100" w:usb3="00000000" w:csb0="80000000" w:csb1="00000000"/>
  </w:font>
  <w:font w:name="Times New Roman">
    <w:panose1 w:val="02020603050405020304"/>
    <w:charset w:val="00"/>
    <w:family w:val="auto"/>
    <w:pitch w:val="variable"/>
    <w:sig w:usb0="03000000" w:usb1="00000000" w:usb2="00000000" w:usb3="00000000" w:csb0="00000001" w:csb1="00000000"/>
  </w:font>
  <w:font w:name="Courier New">
    <w:panose1 w:val="02070309020205020404"/>
    <w:charset w:val="00"/>
    <w:family w:val="auto"/>
    <w:pitch w:val="variable"/>
    <w:sig w:usb0="03000000" w:usb1="00000000" w:usb2="00000000" w:usb3="00000000" w:csb0="00000001" w:csb1="00000000"/>
  </w:font>
  <w:font w:name="Wingdings">
    <w:panose1 w:val="05020102010804080708"/>
    <w:charset w:val="02"/>
    <w:family w:val="auto"/>
    <w:pitch w:val="variable"/>
    <w:sig w:usb0="00000000" w:usb1="00000000" w:usb2="00000100" w:usb3="00000000" w:csb0="80000000" w:csb1="00000000"/>
  </w:font>
  <w:font w:name="Calibri">
    <w:panose1 w:val="020F0502020204030204"/>
    <w:charset w:val="00"/>
    <w:family w:val="auto"/>
    <w:pitch w:val="variable"/>
    <w:sig w:usb0="03000000" w:usb1="00000000" w:usb2="00000000" w:usb3="00000000" w:csb0="00000001" w:csb1="00000000"/>
  </w:font>
  <w:font w:name="Estrangelo Edessa">
    <w:altName w:val="Arial"/>
    <w:panose1 w:val="00000000000000000000"/>
    <w:charset w:val="00"/>
    <w:family w:val="script"/>
    <w:notTrueType/>
    <w:pitch w:val="variable"/>
    <w:sig w:usb0="00000003" w:usb1="00000000" w:usb2="00000000" w:usb3="00000000" w:csb0="00000001" w:csb1="00000000"/>
  </w:font>
  <w:font w:name="AR BERKLEY">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auto"/>
    <w:pitch w:val="variable"/>
    <w:sig w:usb0="03000000" w:usb1="00000000" w:usb2="00000000" w:usb3="00000000" w:csb0="00000001" w:csb1="00000000"/>
  </w:font>
  <w:font w:name="Arial">
    <w:panose1 w:val="020B0604020202020204"/>
    <w:charset w:val="4D"/>
    <w:family w:val="swiss"/>
    <w:notTrueType/>
    <w:pitch w:val="variable"/>
    <w:sig w:usb0="03000000" w:usb1="00000000" w:usb2="00000000" w:usb3="00000000" w:csb0="00000001" w:csb1="00000000"/>
  </w:font>
  <w:font w:name="Cambria">
    <w:panose1 w:val="02040503050406030204"/>
    <w:charset w:val="00"/>
    <w:family w:val="auto"/>
    <w:pitch w:val="variable"/>
    <w:sig w:usb0="03000000"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D52858" w:rsidRPr="00941D4D" w:rsidRDefault="00D52858" w:rsidP="00941D4D">
    <w:pPr>
      <w:pStyle w:val="Pidi"/>
      <w:jc w:val="cen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D52858" w:rsidRDefault="00D52858">
      <w:pPr>
        <w:spacing w:after="0" w:line="240" w:lineRule="auto"/>
      </w:pPr>
      <w:r>
        <w:separator/>
      </w:r>
    </w:p>
  </w:footnote>
  <w:footnote w:type="continuationSeparator" w:id="1">
    <w:p w:rsidR="00D52858" w:rsidRDefault="00D52858">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AD072C1"/>
    <w:multiLevelType w:val="multilevel"/>
    <w:tmpl w:val="3EAC9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D86AFA"/>
    <w:multiLevelType w:val="multilevel"/>
    <w:tmpl w:val="994EE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283"/>
  <w:doNotHyphenateCaps/>
  <w:characterSpacingControl w:val="doNotCompress"/>
  <w:savePreviewPicture/>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doNotVertAlignCellWithSp/>
    <w:doNotBreakConstrainedForcedTable/>
    <w:doNotVertAlignInTxbx/>
    <w:useAnsiKerningPairs/>
    <w:cachedColBalance/>
    <w:splitPgBreakAndParaMark/>
  </w:compat>
  <w:rsids>
    <w:rsidRoot w:val="00ED12A7"/>
    <w:rsid w:val="0000358B"/>
    <w:rsid w:val="00014DBD"/>
    <w:rsid w:val="00017F50"/>
    <w:rsid w:val="0002066F"/>
    <w:rsid w:val="000239E6"/>
    <w:rsid w:val="00025516"/>
    <w:rsid w:val="000326B3"/>
    <w:rsid w:val="00041C04"/>
    <w:rsid w:val="00047D87"/>
    <w:rsid w:val="000510FE"/>
    <w:rsid w:val="00054EAD"/>
    <w:rsid w:val="000563ED"/>
    <w:rsid w:val="00060B9A"/>
    <w:rsid w:val="00061E0D"/>
    <w:rsid w:val="0006569E"/>
    <w:rsid w:val="00066991"/>
    <w:rsid w:val="0007382B"/>
    <w:rsid w:val="000738E8"/>
    <w:rsid w:val="00083244"/>
    <w:rsid w:val="00094C47"/>
    <w:rsid w:val="000A203E"/>
    <w:rsid w:val="000B2248"/>
    <w:rsid w:val="000B33D1"/>
    <w:rsid w:val="000B3E3E"/>
    <w:rsid w:val="000C614B"/>
    <w:rsid w:val="000C7D1F"/>
    <w:rsid w:val="000D0C50"/>
    <w:rsid w:val="000D2B2B"/>
    <w:rsid w:val="000D2E19"/>
    <w:rsid w:val="000D4B05"/>
    <w:rsid w:val="000D4D1A"/>
    <w:rsid w:val="000D6295"/>
    <w:rsid w:val="000D6DAE"/>
    <w:rsid w:val="000F79D5"/>
    <w:rsid w:val="00100878"/>
    <w:rsid w:val="00100948"/>
    <w:rsid w:val="00104818"/>
    <w:rsid w:val="0011321D"/>
    <w:rsid w:val="00123EF6"/>
    <w:rsid w:val="001307CB"/>
    <w:rsid w:val="00135B4B"/>
    <w:rsid w:val="001369A3"/>
    <w:rsid w:val="00136E73"/>
    <w:rsid w:val="001377B9"/>
    <w:rsid w:val="001550DE"/>
    <w:rsid w:val="00155924"/>
    <w:rsid w:val="00155D23"/>
    <w:rsid w:val="00157794"/>
    <w:rsid w:val="0016129F"/>
    <w:rsid w:val="00161499"/>
    <w:rsid w:val="00162081"/>
    <w:rsid w:val="001624DB"/>
    <w:rsid w:val="00162697"/>
    <w:rsid w:val="0016419C"/>
    <w:rsid w:val="0016645B"/>
    <w:rsid w:val="00167973"/>
    <w:rsid w:val="001727D9"/>
    <w:rsid w:val="001727F1"/>
    <w:rsid w:val="001747AD"/>
    <w:rsid w:val="0018745F"/>
    <w:rsid w:val="00195C28"/>
    <w:rsid w:val="001A21CB"/>
    <w:rsid w:val="001A50A9"/>
    <w:rsid w:val="001A56FD"/>
    <w:rsid w:val="001A7B8D"/>
    <w:rsid w:val="001B196F"/>
    <w:rsid w:val="001B72BD"/>
    <w:rsid w:val="001C6E83"/>
    <w:rsid w:val="001D2AA1"/>
    <w:rsid w:val="001E0E78"/>
    <w:rsid w:val="001E376B"/>
    <w:rsid w:val="001E5C6C"/>
    <w:rsid w:val="001F0E7D"/>
    <w:rsid w:val="001F1764"/>
    <w:rsid w:val="001F7071"/>
    <w:rsid w:val="0020042B"/>
    <w:rsid w:val="00204276"/>
    <w:rsid w:val="00205B32"/>
    <w:rsid w:val="00214CA7"/>
    <w:rsid w:val="00215D81"/>
    <w:rsid w:val="00217047"/>
    <w:rsid w:val="00222E8A"/>
    <w:rsid w:val="00223DB3"/>
    <w:rsid w:val="00223FAB"/>
    <w:rsid w:val="00225492"/>
    <w:rsid w:val="002264F0"/>
    <w:rsid w:val="0023660B"/>
    <w:rsid w:val="00237788"/>
    <w:rsid w:val="00245030"/>
    <w:rsid w:val="00246045"/>
    <w:rsid w:val="00247EDF"/>
    <w:rsid w:val="00254866"/>
    <w:rsid w:val="002656D2"/>
    <w:rsid w:val="00275344"/>
    <w:rsid w:val="002754BF"/>
    <w:rsid w:val="00277F31"/>
    <w:rsid w:val="002873F4"/>
    <w:rsid w:val="002874B2"/>
    <w:rsid w:val="00292D29"/>
    <w:rsid w:val="00294E8D"/>
    <w:rsid w:val="002A1784"/>
    <w:rsid w:val="002A3C8B"/>
    <w:rsid w:val="002A47AF"/>
    <w:rsid w:val="002B2CB2"/>
    <w:rsid w:val="002B326A"/>
    <w:rsid w:val="002C778A"/>
    <w:rsid w:val="002D02D6"/>
    <w:rsid w:val="002D0CE5"/>
    <w:rsid w:val="002E267B"/>
    <w:rsid w:val="002E2D2C"/>
    <w:rsid w:val="002E4B08"/>
    <w:rsid w:val="002E57B2"/>
    <w:rsid w:val="002E608C"/>
    <w:rsid w:val="002F1040"/>
    <w:rsid w:val="002F6E4C"/>
    <w:rsid w:val="00304997"/>
    <w:rsid w:val="0031476C"/>
    <w:rsid w:val="00326C9E"/>
    <w:rsid w:val="00330372"/>
    <w:rsid w:val="003341B5"/>
    <w:rsid w:val="003465F5"/>
    <w:rsid w:val="00350560"/>
    <w:rsid w:val="00350D2D"/>
    <w:rsid w:val="003557BE"/>
    <w:rsid w:val="00355969"/>
    <w:rsid w:val="00356B3A"/>
    <w:rsid w:val="00361753"/>
    <w:rsid w:val="003647C7"/>
    <w:rsid w:val="00376A98"/>
    <w:rsid w:val="00380856"/>
    <w:rsid w:val="003828D1"/>
    <w:rsid w:val="0038326B"/>
    <w:rsid w:val="00383B51"/>
    <w:rsid w:val="0039669B"/>
    <w:rsid w:val="003A28F4"/>
    <w:rsid w:val="003A29F3"/>
    <w:rsid w:val="003A7786"/>
    <w:rsid w:val="003A79B6"/>
    <w:rsid w:val="003B673F"/>
    <w:rsid w:val="003C0474"/>
    <w:rsid w:val="003C2539"/>
    <w:rsid w:val="003C53F7"/>
    <w:rsid w:val="003C7244"/>
    <w:rsid w:val="003D6FFA"/>
    <w:rsid w:val="003E15BA"/>
    <w:rsid w:val="003E3C0A"/>
    <w:rsid w:val="003E6111"/>
    <w:rsid w:val="003F34DC"/>
    <w:rsid w:val="003F6271"/>
    <w:rsid w:val="003F7F8B"/>
    <w:rsid w:val="0040005C"/>
    <w:rsid w:val="00400CEF"/>
    <w:rsid w:val="0040379F"/>
    <w:rsid w:val="00407F01"/>
    <w:rsid w:val="00412F42"/>
    <w:rsid w:val="004144E8"/>
    <w:rsid w:val="0041543F"/>
    <w:rsid w:val="00415C1A"/>
    <w:rsid w:val="00416070"/>
    <w:rsid w:val="00422337"/>
    <w:rsid w:val="0042635C"/>
    <w:rsid w:val="0042774E"/>
    <w:rsid w:val="004301C1"/>
    <w:rsid w:val="004418FC"/>
    <w:rsid w:val="00455C44"/>
    <w:rsid w:val="0046568B"/>
    <w:rsid w:val="004667F6"/>
    <w:rsid w:val="00467178"/>
    <w:rsid w:val="0047098E"/>
    <w:rsid w:val="00474E3E"/>
    <w:rsid w:val="00474F05"/>
    <w:rsid w:val="004776AB"/>
    <w:rsid w:val="004819C7"/>
    <w:rsid w:val="004849B6"/>
    <w:rsid w:val="00486C27"/>
    <w:rsid w:val="00486F9C"/>
    <w:rsid w:val="00490ED5"/>
    <w:rsid w:val="004923CC"/>
    <w:rsid w:val="004A1782"/>
    <w:rsid w:val="004A4091"/>
    <w:rsid w:val="004A5E00"/>
    <w:rsid w:val="004A7145"/>
    <w:rsid w:val="004B131A"/>
    <w:rsid w:val="004B1EB3"/>
    <w:rsid w:val="004B5B05"/>
    <w:rsid w:val="004B6DBA"/>
    <w:rsid w:val="004C1C89"/>
    <w:rsid w:val="004C57BC"/>
    <w:rsid w:val="004E5CD1"/>
    <w:rsid w:val="004F2C33"/>
    <w:rsid w:val="004F4889"/>
    <w:rsid w:val="004F7115"/>
    <w:rsid w:val="004F75C7"/>
    <w:rsid w:val="00510CE4"/>
    <w:rsid w:val="00512DAA"/>
    <w:rsid w:val="0051353E"/>
    <w:rsid w:val="0053525F"/>
    <w:rsid w:val="00545EBC"/>
    <w:rsid w:val="00552698"/>
    <w:rsid w:val="00554247"/>
    <w:rsid w:val="00554C2E"/>
    <w:rsid w:val="005551B8"/>
    <w:rsid w:val="00556256"/>
    <w:rsid w:val="0055678B"/>
    <w:rsid w:val="00556819"/>
    <w:rsid w:val="005613B8"/>
    <w:rsid w:val="0056310D"/>
    <w:rsid w:val="005641D7"/>
    <w:rsid w:val="005645C0"/>
    <w:rsid w:val="005646B4"/>
    <w:rsid w:val="00567098"/>
    <w:rsid w:val="005703CE"/>
    <w:rsid w:val="00570962"/>
    <w:rsid w:val="005716FA"/>
    <w:rsid w:val="00574F60"/>
    <w:rsid w:val="00584747"/>
    <w:rsid w:val="005904C5"/>
    <w:rsid w:val="005A0654"/>
    <w:rsid w:val="005A106F"/>
    <w:rsid w:val="005A7973"/>
    <w:rsid w:val="005B3430"/>
    <w:rsid w:val="005B36DE"/>
    <w:rsid w:val="005C122D"/>
    <w:rsid w:val="005C2EFE"/>
    <w:rsid w:val="005C54D1"/>
    <w:rsid w:val="005C5709"/>
    <w:rsid w:val="005D034C"/>
    <w:rsid w:val="005D0E5B"/>
    <w:rsid w:val="005D1AA8"/>
    <w:rsid w:val="005D3148"/>
    <w:rsid w:val="005D3D60"/>
    <w:rsid w:val="005E150D"/>
    <w:rsid w:val="005E2D36"/>
    <w:rsid w:val="005F47D4"/>
    <w:rsid w:val="005F51E7"/>
    <w:rsid w:val="005F6651"/>
    <w:rsid w:val="005F6BD4"/>
    <w:rsid w:val="005F7BC9"/>
    <w:rsid w:val="0060127F"/>
    <w:rsid w:val="00602008"/>
    <w:rsid w:val="00606651"/>
    <w:rsid w:val="00607959"/>
    <w:rsid w:val="006174B4"/>
    <w:rsid w:val="00617BA2"/>
    <w:rsid w:val="00623A21"/>
    <w:rsid w:val="00623B18"/>
    <w:rsid w:val="00623C79"/>
    <w:rsid w:val="00625372"/>
    <w:rsid w:val="00630637"/>
    <w:rsid w:val="006310BE"/>
    <w:rsid w:val="00631C38"/>
    <w:rsid w:val="0063306A"/>
    <w:rsid w:val="0063515D"/>
    <w:rsid w:val="00637DA6"/>
    <w:rsid w:val="006431FB"/>
    <w:rsid w:val="00645E4A"/>
    <w:rsid w:val="00646A24"/>
    <w:rsid w:val="006500A3"/>
    <w:rsid w:val="006566BC"/>
    <w:rsid w:val="006626C1"/>
    <w:rsid w:val="00662896"/>
    <w:rsid w:val="00663C57"/>
    <w:rsid w:val="00664E0F"/>
    <w:rsid w:val="00666C92"/>
    <w:rsid w:val="006725DD"/>
    <w:rsid w:val="00675B16"/>
    <w:rsid w:val="0067612B"/>
    <w:rsid w:val="0067676B"/>
    <w:rsid w:val="00685F99"/>
    <w:rsid w:val="00697AE5"/>
    <w:rsid w:val="006A6C83"/>
    <w:rsid w:val="006B1BA9"/>
    <w:rsid w:val="006B4337"/>
    <w:rsid w:val="006C3C29"/>
    <w:rsid w:val="006D1440"/>
    <w:rsid w:val="006D1AAF"/>
    <w:rsid w:val="006D6F02"/>
    <w:rsid w:val="006E10F1"/>
    <w:rsid w:val="006F73E5"/>
    <w:rsid w:val="00701A0A"/>
    <w:rsid w:val="00702F3E"/>
    <w:rsid w:val="00704A62"/>
    <w:rsid w:val="007058E0"/>
    <w:rsid w:val="0071380A"/>
    <w:rsid w:val="00721E58"/>
    <w:rsid w:val="007263E2"/>
    <w:rsid w:val="00736F6D"/>
    <w:rsid w:val="007438AE"/>
    <w:rsid w:val="00744BED"/>
    <w:rsid w:val="00745280"/>
    <w:rsid w:val="0075334A"/>
    <w:rsid w:val="007578D3"/>
    <w:rsid w:val="00757E89"/>
    <w:rsid w:val="00761EC7"/>
    <w:rsid w:val="00763022"/>
    <w:rsid w:val="007639FE"/>
    <w:rsid w:val="00766B31"/>
    <w:rsid w:val="00775643"/>
    <w:rsid w:val="00777513"/>
    <w:rsid w:val="00777DC1"/>
    <w:rsid w:val="00782B5C"/>
    <w:rsid w:val="0078740B"/>
    <w:rsid w:val="007876DD"/>
    <w:rsid w:val="007A1E75"/>
    <w:rsid w:val="007A41B0"/>
    <w:rsid w:val="007B1D38"/>
    <w:rsid w:val="007C0160"/>
    <w:rsid w:val="007C432C"/>
    <w:rsid w:val="007D1108"/>
    <w:rsid w:val="007D1CA1"/>
    <w:rsid w:val="007D2C2F"/>
    <w:rsid w:val="007D38C1"/>
    <w:rsid w:val="007D5A81"/>
    <w:rsid w:val="007E188B"/>
    <w:rsid w:val="007E5A4F"/>
    <w:rsid w:val="007E755E"/>
    <w:rsid w:val="007F57B5"/>
    <w:rsid w:val="007F5EEC"/>
    <w:rsid w:val="00805207"/>
    <w:rsid w:val="0081334F"/>
    <w:rsid w:val="00824090"/>
    <w:rsid w:val="00827BA4"/>
    <w:rsid w:val="00827C85"/>
    <w:rsid w:val="00831197"/>
    <w:rsid w:val="00833034"/>
    <w:rsid w:val="0083393A"/>
    <w:rsid w:val="00834782"/>
    <w:rsid w:val="0083524A"/>
    <w:rsid w:val="00841AD9"/>
    <w:rsid w:val="00863448"/>
    <w:rsid w:val="00880868"/>
    <w:rsid w:val="008A5537"/>
    <w:rsid w:val="008A6C30"/>
    <w:rsid w:val="008B1BC0"/>
    <w:rsid w:val="008B298D"/>
    <w:rsid w:val="008C5B4D"/>
    <w:rsid w:val="008C6A2D"/>
    <w:rsid w:val="008C706A"/>
    <w:rsid w:val="008D3A82"/>
    <w:rsid w:val="008D4E1D"/>
    <w:rsid w:val="008E4BD0"/>
    <w:rsid w:val="008E547D"/>
    <w:rsid w:val="008F14D4"/>
    <w:rsid w:val="008F36C3"/>
    <w:rsid w:val="008F3B03"/>
    <w:rsid w:val="008F4653"/>
    <w:rsid w:val="009011E8"/>
    <w:rsid w:val="00905E99"/>
    <w:rsid w:val="00906524"/>
    <w:rsid w:val="00913013"/>
    <w:rsid w:val="00914D85"/>
    <w:rsid w:val="009150F3"/>
    <w:rsid w:val="00920C7B"/>
    <w:rsid w:val="00921779"/>
    <w:rsid w:val="00921D2D"/>
    <w:rsid w:val="0092273C"/>
    <w:rsid w:val="00923AF5"/>
    <w:rsid w:val="0092404E"/>
    <w:rsid w:val="009302EB"/>
    <w:rsid w:val="009329E4"/>
    <w:rsid w:val="00937B2A"/>
    <w:rsid w:val="009403A3"/>
    <w:rsid w:val="00941D4D"/>
    <w:rsid w:val="00945591"/>
    <w:rsid w:val="0095074E"/>
    <w:rsid w:val="00954662"/>
    <w:rsid w:val="009561ED"/>
    <w:rsid w:val="00963BA2"/>
    <w:rsid w:val="009701D2"/>
    <w:rsid w:val="0097048F"/>
    <w:rsid w:val="009747A1"/>
    <w:rsid w:val="009907ED"/>
    <w:rsid w:val="00991FF5"/>
    <w:rsid w:val="0099385E"/>
    <w:rsid w:val="009949B3"/>
    <w:rsid w:val="009A1403"/>
    <w:rsid w:val="009A2348"/>
    <w:rsid w:val="009A3F34"/>
    <w:rsid w:val="009A4036"/>
    <w:rsid w:val="009A4B15"/>
    <w:rsid w:val="009A664D"/>
    <w:rsid w:val="009C2B8C"/>
    <w:rsid w:val="009C391D"/>
    <w:rsid w:val="009C471E"/>
    <w:rsid w:val="009D0F14"/>
    <w:rsid w:val="009D185A"/>
    <w:rsid w:val="009D32EA"/>
    <w:rsid w:val="009E1B71"/>
    <w:rsid w:val="009E2A57"/>
    <w:rsid w:val="009E34F1"/>
    <w:rsid w:val="009E582B"/>
    <w:rsid w:val="009F4A7F"/>
    <w:rsid w:val="00A006A6"/>
    <w:rsid w:val="00A00DB2"/>
    <w:rsid w:val="00A037B4"/>
    <w:rsid w:val="00A03FEC"/>
    <w:rsid w:val="00A05976"/>
    <w:rsid w:val="00A103E5"/>
    <w:rsid w:val="00A112A9"/>
    <w:rsid w:val="00A219D7"/>
    <w:rsid w:val="00A2377B"/>
    <w:rsid w:val="00A31532"/>
    <w:rsid w:val="00A336DD"/>
    <w:rsid w:val="00A37A79"/>
    <w:rsid w:val="00A42A43"/>
    <w:rsid w:val="00A432D8"/>
    <w:rsid w:val="00A517B0"/>
    <w:rsid w:val="00A619B5"/>
    <w:rsid w:val="00A634A5"/>
    <w:rsid w:val="00A720B5"/>
    <w:rsid w:val="00A75055"/>
    <w:rsid w:val="00A76068"/>
    <w:rsid w:val="00A80D10"/>
    <w:rsid w:val="00A828DA"/>
    <w:rsid w:val="00A86ADA"/>
    <w:rsid w:val="00A96B1B"/>
    <w:rsid w:val="00AA468D"/>
    <w:rsid w:val="00AA7289"/>
    <w:rsid w:val="00AB3C06"/>
    <w:rsid w:val="00AB4B68"/>
    <w:rsid w:val="00AC24AE"/>
    <w:rsid w:val="00AC6881"/>
    <w:rsid w:val="00AC7527"/>
    <w:rsid w:val="00AC7948"/>
    <w:rsid w:val="00AD15D8"/>
    <w:rsid w:val="00AD57D6"/>
    <w:rsid w:val="00AD5948"/>
    <w:rsid w:val="00AE03AD"/>
    <w:rsid w:val="00AE62F0"/>
    <w:rsid w:val="00AF04BD"/>
    <w:rsid w:val="00AF53C3"/>
    <w:rsid w:val="00AF67F3"/>
    <w:rsid w:val="00B02B33"/>
    <w:rsid w:val="00B07052"/>
    <w:rsid w:val="00B13697"/>
    <w:rsid w:val="00B21F92"/>
    <w:rsid w:val="00B32150"/>
    <w:rsid w:val="00B35A7E"/>
    <w:rsid w:val="00B40EC8"/>
    <w:rsid w:val="00B42220"/>
    <w:rsid w:val="00B450FA"/>
    <w:rsid w:val="00B54E82"/>
    <w:rsid w:val="00B6301F"/>
    <w:rsid w:val="00B630CC"/>
    <w:rsid w:val="00B7072F"/>
    <w:rsid w:val="00B72068"/>
    <w:rsid w:val="00B82E89"/>
    <w:rsid w:val="00B832CD"/>
    <w:rsid w:val="00B833AD"/>
    <w:rsid w:val="00B83492"/>
    <w:rsid w:val="00B850A1"/>
    <w:rsid w:val="00B850A3"/>
    <w:rsid w:val="00B87B7F"/>
    <w:rsid w:val="00B927BC"/>
    <w:rsid w:val="00B964AE"/>
    <w:rsid w:val="00BA0F9C"/>
    <w:rsid w:val="00BA3047"/>
    <w:rsid w:val="00BB3B0E"/>
    <w:rsid w:val="00BB5F7A"/>
    <w:rsid w:val="00BC0FC4"/>
    <w:rsid w:val="00BC38D1"/>
    <w:rsid w:val="00BC5594"/>
    <w:rsid w:val="00BC6514"/>
    <w:rsid w:val="00BC78E5"/>
    <w:rsid w:val="00BD3EE3"/>
    <w:rsid w:val="00BD3F9F"/>
    <w:rsid w:val="00BE1EA6"/>
    <w:rsid w:val="00BE6216"/>
    <w:rsid w:val="00C034A4"/>
    <w:rsid w:val="00C05DEF"/>
    <w:rsid w:val="00C07702"/>
    <w:rsid w:val="00C156ED"/>
    <w:rsid w:val="00C20CD3"/>
    <w:rsid w:val="00C223EC"/>
    <w:rsid w:val="00C335FA"/>
    <w:rsid w:val="00C355AC"/>
    <w:rsid w:val="00C41776"/>
    <w:rsid w:val="00C4367C"/>
    <w:rsid w:val="00C45055"/>
    <w:rsid w:val="00C466F5"/>
    <w:rsid w:val="00C4685C"/>
    <w:rsid w:val="00C47F2F"/>
    <w:rsid w:val="00C50EF6"/>
    <w:rsid w:val="00C60EA4"/>
    <w:rsid w:val="00C61302"/>
    <w:rsid w:val="00C67FE4"/>
    <w:rsid w:val="00C726CA"/>
    <w:rsid w:val="00C75808"/>
    <w:rsid w:val="00C75ABE"/>
    <w:rsid w:val="00C77FA4"/>
    <w:rsid w:val="00C92B6B"/>
    <w:rsid w:val="00C930E6"/>
    <w:rsid w:val="00C97208"/>
    <w:rsid w:val="00CA3CED"/>
    <w:rsid w:val="00CA7EFB"/>
    <w:rsid w:val="00CB0850"/>
    <w:rsid w:val="00CB42F7"/>
    <w:rsid w:val="00CB4DDC"/>
    <w:rsid w:val="00CB6F8F"/>
    <w:rsid w:val="00CB7BEA"/>
    <w:rsid w:val="00CC3562"/>
    <w:rsid w:val="00CC3C1B"/>
    <w:rsid w:val="00CC5012"/>
    <w:rsid w:val="00CC58C8"/>
    <w:rsid w:val="00CC657C"/>
    <w:rsid w:val="00CC65AC"/>
    <w:rsid w:val="00CD0344"/>
    <w:rsid w:val="00CD1552"/>
    <w:rsid w:val="00CD1724"/>
    <w:rsid w:val="00CD3711"/>
    <w:rsid w:val="00CE3023"/>
    <w:rsid w:val="00CE5CF7"/>
    <w:rsid w:val="00CF74C4"/>
    <w:rsid w:val="00D020EE"/>
    <w:rsid w:val="00D10F6D"/>
    <w:rsid w:val="00D11BFF"/>
    <w:rsid w:val="00D142B5"/>
    <w:rsid w:val="00D16AF0"/>
    <w:rsid w:val="00D245F0"/>
    <w:rsid w:val="00D34CE3"/>
    <w:rsid w:val="00D40EE2"/>
    <w:rsid w:val="00D50868"/>
    <w:rsid w:val="00D52858"/>
    <w:rsid w:val="00D617C6"/>
    <w:rsid w:val="00D67B05"/>
    <w:rsid w:val="00D84DE4"/>
    <w:rsid w:val="00D84F50"/>
    <w:rsid w:val="00D8599B"/>
    <w:rsid w:val="00D93C6D"/>
    <w:rsid w:val="00D9727B"/>
    <w:rsid w:val="00DA2C29"/>
    <w:rsid w:val="00DB19B6"/>
    <w:rsid w:val="00DB2D11"/>
    <w:rsid w:val="00DB3208"/>
    <w:rsid w:val="00DB37C0"/>
    <w:rsid w:val="00DC73EC"/>
    <w:rsid w:val="00DD0B6C"/>
    <w:rsid w:val="00DD53EA"/>
    <w:rsid w:val="00DE7D94"/>
    <w:rsid w:val="00DF14CE"/>
    <w:rsid w:val="00DF2F99"/>
    <w:rsid w:val="00DF3D85"/>
    <w:rsid w:val="00DF427F"/>
    <w:rsid w:val="00E11EA8"/>
    <w:rsid w:val="00E202A7"/>
    <w:rsid w:val="00E20485"/>
    <w:rsid w:val="00E42B40"/>
    <w:rsid w:val="00E450A5"/>
    <w:rsid w:val="00E5529B"/>
    <w:rsid w:val="00E62FF9"/>
    <w:rsid w:val="00E64641"/>
    <w:rsid w:val="00E755B8"/>
    <w:rsid w:val="00E777B3"/>
    <w:rsid w:val="00E84102"/>
    <w:rsid w:val="00EA05AC"/>
    <w:rsid w:val="00EA42EB"/>
    <w:rsid w:val="00EB35BC"/>
    <w:rsid w:val="00EC796E"/>
    <w:rsid w:val="00ED12A7"/>
    <w:rsid w:val="00ED31E5"/>
    <w:rsid w:val="00ED3713"/>
    <w:rsid w:val="00EE1607"/>
    <w:rsid w:val="00EE26C8"/>
    <w:rsid w:val="00EF3476"/>
    <w:rsid w:val="00EF3F6F"/>
    <w:rsid w:val="00EF6DF8"/>
    <w:rsid w:val="00EF6F4D"/>
    <w:rsid w:val="00F01965"/>
    <w:rsid w:val="00F0745A"/>
    <w:rsid w:val="00F118B4"/>
    <w:rsid w:val="00F13C40"/>
    <w:rsid w:val="00F17B69"/>
    <w:rsid w:val="00F2607D"/>
    <w:rsid w:val="00F32F52"/>
    <w:rsid w:val="00F47FFC"/>
    <w:rsid w:val="00F50FC7"/>
    <w:rsid w:val="00F531C2"/>
    <w:rsid w:val="00F5331E"/>
    <w:rsid w:val="00F62CF1"/>
    <w:rsid w:val="00F709C6"/>
    <w:rsid w:val="00F70C92"/>
    <w:rsid w:val="00F71B89"/>
    <w:rsid w:val="00F80376"/>
    <w:rsid w:val="00F84B17"/>
    <w:rsid w:val="00F86DF7"/>
    <w:rsid w:val="00F87AAD"/>
    <w:rsid w:val="00F87F09"/>
    <w:rsid w:val="00F929DB"/>
    <w:rsid w:val="00F93420"/>
    <w:rsid w:val="00F96048"/>
    <w:rsid w:val="00FA0327"/>
    <w:rsid w:val="00FA1536"/>
    <w:rsid w:val="00FA3494"/>
    <w:rsid w:val="00FA3E3C"/>
    <w:rsid w:val="00FB4590"/>
    <w:rsid w:val="00FB51DC"/>
    <w:rsid w:val="00FC3B8E"/>
    <w:rsid w:val="00FC4C3C"/>
    <w:rsid w:val="00FC674A"/>
    <w:rsid w:val="00FD6C5C"/>
    <w:rsid w:val="00FD7219"/>
    <w:rsid w:val="00FE70D8"/>
    <w:rsid w:val="00FF056F"/>
    <w:rsid w:val="00FF4FDF"/>
  </w:rsids>
  <m:mathPr>
    <m:mathFont m:val="Times New Roman"/>
    <m:brkBin m:val="before"/>
    <m:brkBinSub m:val="--"/>
    <m:smallFrac m:val="off"/>
    <m:dispDef m:val="off"/>
    <m:lMargin m:val="0"/>
    <m:rMargin m:val="0"/>
    <m:wrapRight/>
    <m:intLim m:val="subSup"/>
    <m:naryLim m:val="subSup"/>
  </m:mathPr>
  <w:uiCompat97To2003/>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en-US" w:bidi="ar-SA"/>
      </w:rPr>
    </w:rPrDefault>
    <w:pPrDefault/>
  </w:docDefaults>
  <w:latentStyles w:defLockedState="0" w:defUIPriority="99" w:defSemiHidden="1" w:defUnhideWhenUsed="1" w:defQFormat="0" w:count="276">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FD7219"/>
    <w:pPr>
      <w:spacing w:after="200" w:line="276" w:lineRule="auto"/>
    </w:pPr>
    <w:rPr>
      <w:sz w:val="22"/>
      <w:szCs w:val="22"/>
    </w:rPr>
  </w:style>
  <w:style w:type="character" w:default="1" w:styleId="DefaultParagraphFont">
    <w:name w:val="Default Paragraph Font"/>
    <w:uiPriority w:val="99"/>
    <w:semiHidden/>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Caratterepredefinito">
    <w:name w:val="Carattere predefinito"/>
    <w:uiPriority w:val="99"/>
    <w:semiHidden/>
  </w:style>
  <w:style w:type="table" w:customStyle="1" w:styleId="Tabellanorm">
    <w:name w:val="Tabella norm"/>
    <w:uiPriority w:val="99"/>
    <w:semiHidden/>
    <w:tblPr>
      <w:tblInd w:w="0" w:type="dxa"/>
      <w:tblCellMar>
        <w:top w:w="0" w:type="dxa"/>
        <w:left w:w="108" w:type="dxa"/>
        <w:bottom w:w="0" w:type="dxa"/>
        <w:right w:w="108" w:type="dxa"/>
      </w:tblCellMar>
    </w:tblPr>
  </w:style>
  <w:style w:type="paragraph" w:customStyle="1" w:styleId="Pidi">
    <w:name w:val="Pi_ di"/>
    <w:basedOn w:val="Normal"/>
    <w:uiPriority w:val="99"/>
    <w:rsid w:val="00ED12A7"/>
    <w:pPr>
      <w:tabs>
        <w:tab w:val="center" w:pos="4819"/>
        <w:tab w:val="right" w:pos="9638"/>
      </w:tabs>
      <w:spacing w:after="0" w:line="240" w:lineRule="auto"/>
      <w:jc w:val="both"/>
    </w:pPr>
    <w:rPr>
      <w:rFonts w:eastAsia="Times New Roman"/>
      <w:sz w:val="20"/>
      <w:szCs w:val="20"/>
      <w:lang w:val="en-US"/>
    </w:rPr>
  </w:style>
  <w:style w:type="character" w:customStyle="1" w:styleId="FooterChar">
    <w:name w:val="Footer Char"/>
    <w:basedOn w:val="Caratterepredefinito"/>
    <w:uiPriority w:val="99"/>
    <w:rsid w:val="00ED12A7"/>
    <w:rPr>
      <w:rFonts w:eastAsia="Times New Roman" w:cs="Times New Roman"/>
      <w:sz w:val="20"/>
      <w:lang w:val="en-US"/>
    </w:rPr>
  </w:style>
  <w:style w:type="character" w:customStyle="1" w:styleId="Collegamentoipertestuale1">
    <w:name w:val="Collegamento ipertestuale1"/>
    <w:basedOn w:val="Caratterepredefinito"/>
    <w:uiPriority w:val="99"/>
    <w:rsid w:val="00ED12A7"/>
    <w:rPr>
      <w:rFonts w:cs="Times New Roman"/>
      <w:color w:val="17BBFD"/>
      <w:u w:val="single"/>
    </w:rPr>
  </w:style>
  <w:style w:type="character" w:customStyle="1" w:styleId="Collegame">
    <w:name w:val="Collegame"/>
    <w:basedOn w:val="Caratterepredefinito"/>
    <w:uiPriority w:val="99"/>
    <w:semiHidden/>
    <w:rsid w:val="00ED12A7"/>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targetScreenSz w:val="544x376"/>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4" Type="http://schemas.openxmlformats.org/officeDocument/2006/relationships/webSettings" Target="webSettings.xml"/><Relationship Id="rId5" Type="http://schemas.openxmlformats.org/officeDocument/2006/relationships/footnotes" Target="footnotes.xml"/><Relationship Id="rId7" Type="http://schemas.openxmlformats.org/officeDocument/2006/relationships/footer" Target="footer1.xml"/><Relationship Id="rId1" Type="http://schemas.openxmlformats.org/officeDocument/2006/relationships/numbering" Target="numbering.xml"/><Relationship Id="rId2" Type="http://schemas.openxmlformats.org/officeDocument/2006/relationships/styles" Target="styles.xml"/><Relationship Id="rId9" Type="http://schemas.openxmlformats.org/officeDocument/2006/relationships/theme" Target="theme/theme1.xml"/><Relationship Id="rId3" Type="http://schemas.openxmlformats.org/officeDocument/2006/relationships/settings" Target="settings.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503</Words>
  <Characters>2870</Characters>
  <Application>Microsoft Macintosh Word</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I L V I A</dc:creator>
  <cp:keywords/>
  <cp:lastModifiedBy>Utente della copia di valutazione di Office 2004</cp:lastModifiedBy>
  <cp:revision>4</cp:revision>
  <dcterms:created xsi:type="dcterms:W3CDTF">2012-06-13T18:53:00Z</dcterms:created>
  <dcterms:modified xsi:type="dcterms:W3CDTF">2012-06-13T18:55:00Z</dcterms:modified>
</cp:coreProperties>
</file>